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63" w:rsidRPr="002008F8" w:rsidRDefault="00143663" w:rsidP="00143663">
      <w:pPr>
        <w:pStyle w:val="Balk6"/>
        <w:rPr>
          <w:color w:val="auto"/>
          <w:szCs w:val="24"/>
        </w:rPr>
      </w:pPr>
      <w:bookmarkStart w:id="0" w:name="_GoBack"/>
      <w:r>
        <w:rPr>
          <w:color w:val="auto"/>
          <w:szCs w:val="24"/>
        </w:rPr>
        <w:t xml:space="preserve">ESPİYE İLÇE MİLLİ EĞİTİM MÜDÜRLĞÜNE BAĞLI OKUL VE </w:t>
      </w:r>
      <w:proofErr w:type="gramStart"/>
      <w:r>
        <w:rPr>
          <w:color w:val="auto"/>
          <w:szCs w:val="24"/>
        </w:rPr>
        <w:t xml:space="preserve">KURUMLARIN  </w:t>
      </w:r>
      <w:r w:rsidRPr="002008F8">
        <w:rPr>
          <w:color w:val="auto"/>
          <w:szCs w:val="24"/>
        </w:rPr>
        <w:t>BANKA</w:t>
      </w:r>
      <w:proofErr w:type="gramEnd"/>
      <w:r w:rsidRPr="002008F8">
        <w:rPr>
          <w:color w:val="auto"/>
          <w:szCs w:val="24"/>
        </w:rPr>
        <w:t xml:space="preserve"> PROMOSYONU İHALE KARARI</w:t>
      </w:r>
      <w:r>
        <w:rPr>
          <w:color w:val="auto"/>
          <w:szCs w:val="24"/>
        </w:rPr>
        <w:t xml:space="preserve"> VE</w:t>
      </w:r>
      <w:r w:rsidRPr="002008F8">
        <w:rPr>
          <w:color w:val="auto"/>
          <w:szCs w:val="24"/>
        </w:rPr>
        <w:t xml:space="preserve"> İLANI</w:t>
      </w:r>
    </w:p>
    <w:bookmarkEnd w:id="0"/>
    <w:p w:rsidR="00143663" w:rsidRDefault="00143663" w:rsidP="00143663"/>
    <w:p w:rsidR="00143663" w:rsidRPr="00913684" w:rsidRDefault="00143663" w:rsidP="00143663">
      <w:r w:rsidRPr="00913684">
        <w:t>Konu: Banka Promosyonu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040"/>
      </w:tblGrid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r w:rsidRPr="00B7533E">
              <w:t>Banka Promosyonu İhale Numarası</w:t>
            </w:r>
          </w:p>
        </w:tc>
        <w:tc>
          <w:tcPr>
            <w:tcW w:w="5040" w:type="dxa"/>
          </w:tcPr>
          <w:p w:rsidR="00143663" w:rsidRPr="00B7533E" w:rsidRDefault="00143663" w:rsidP="006D6D98">
            <w:pPr>
              <w:jc w:val="both"/>
            </w:pPr>
            <w:r>
              <w:t>2017–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r w:rsidRPr="00B7533E">
              <w:t>1-Kurumun Adı</w:t>
            </w:r>
          </w:p>
        </w:tc>
        <w:tc>
          <w:tcPr>
            <w:tcW w:w="5040" w:type="dxa"/>
          </w:tcPr>
          <w:p w:rsidR="00143663" w:rsidRPr="00B7533E" w:rsidRDefault="00143663" w:rsidP="006D6D98">
            <w:r>
              <w:rPr>
                <w:color w:val="000000"/>
              </w:rPr>
              <w:t xml:space="preserve">Espiye </w:t>
            </w:r>
            <w:r w:rsidRPr="006B188E">
              <w:rPr>
                <w:color w:val="000000"/>
              </w:rPr>
              <w:t xml:space="preserve">İlçe Milli Eğitim Müdürlüğü, </w:t>
            </w:r>
            <w:hyperlink r:id="rId5" w:history="1">
              <w:r w:rsidRPr="006B188E">
                <w:rPr>
                  <w:rStyle w:val="Kpr"/>
                  <w:color w:val="000000"/>
                  <w:u w:val="none"/>
                </w:rPr>
                <w:t>Okul Öncesi ve İlköğretim Okulları</w:t>
              </w:r>
            </w:hyperlink>
            <w:r w:rsidRPr="006B188E">
              <w:rPr>
                <w:color w:val="000000"/>
              </w:rPr>
              <w:t xml:space="preserve">, </w:t>
            </w:r>
            <w:hyperlink r:id="rId6" w:history="1">
              <w:r>
                <w:rPr>
                  <w:rStyle w:val="Kpr"/>
                  <w:color w:val="000000"/>
                  <w:u w:val="none"/>
                </w:rPr>
                <w:t xml:space="preserve"> Hayat Boyu Öğrenme, </w:t>
              </w:r>
              <w:r w:rsidRPr="006B188E">
                <w:rPr>
                  <w:rStyle w:val="Kpr"/>
                  <w:color w:val="000000"/>
                  <w:u w:val="none"/>
                </w:rPr>
                <w:t>Halk Eğitim Merkezleri</w:t>
              </w:r>
            </w:hyperlink>
            <w:r w:rsidRPr="006B188E">
              <w:rPr>
                <w:color w:val="000000"/>
              </w:rPr>
              <w:t xml:space="preserve"> </w:t>
            </w:r>
            <w:proofErr w:type="spellStart"/>
            <w:r w:rsidRPr="006B188E">
              <w:rPr>
                <w:color w:val="000000"/>
              </w:rPr>
              <w:t>Müd</w:t>
            </w:r>
            <w:proofErr w:type="spellEnd"/>
            <w:proofErr w:type="gramStart"/>
            <w:r w:rsidRPr="006B188E">
              <w:rPr>
                <w:color w:val="000000"/>
              </w:rPr>
              <w:t>.,</w:t>
            </w:r>
            <w:proofErr w:type="gramEnd"/>
            <w:r w:rsidRPr="006B188E">
              <w:rPr>
                <w:color w:val="000000"/>
              </w:rPr>
              <w:t xml:space="preserve"> Mesleki ve Teknik Eğitim Okulları, </w:t>
            </w:r>
            <w:hyperlink r:id="rId7" w:history="1">
              <w:r w:rsidRPr="006B188E">
                <w:rPr>
                  <w:rStyle w:val="Kpr"/>
                  <w:color w:val="000000"/>
                  <w:u w:val="none"/>
                </w:rPr>
                <w:t>Din Öğretimi Okulları</w:t>
              </w:r>
            </w:hyperlink>
            <w:r>
              <w:rPr>
                <w:color w:val="000000"/>
              </w:rPr>
              <w:t xml:space="preserve"> ve </w:t>
            </w:r>
            <w:r w:rsidRPr="006B188E">
              <w:rPr>
                <w:color w:val="000000"/>
              </w:rPr>
              <w:t xml:space="preserve"> </w:t>
            </w:r>
            <w:hyperlink r:id="rId8" w:history="1">
              <w:r w:rsidRPr="006B188E">
                <w:rPr>
                  <w:rStyle w:val="Kpr"/>
                  <w:color w:val="000000"/>
                  <w:u w:val="none"/>
                </w:rPr>
                <w:t>Genel Ortaöğretim Okulları</w:t>
              </w:r>
            </w:hyperlink>
            <w:r w:rsidRPr="006B188E">
              <w:rPr>
                <w:color w:val="000000"/>
              </w:rPr>
              <w:t xml:space="preserve"> 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pPr>
              <w:ind w:left="284"/>
            </w:pPr>
            <w:r w:rsidRPr="00B7533E">
              <w:t>A) Adresi</w:t>
            </w:r>
          </w:p>
        </w:tc>
        <w:tc>
          <w:tcPr>
            <w:tcW w:w="5040" w:type="dxa"/>
          </w:tcPr>
          <w:p w:rsidR="00143663" w:rsidRPr="002318B9" w:rsidRDefault="00143663" w:rsidP="006D6D9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Kemal Şahan </w:t>
            </w:r>
            <w:proofErr w:type="spellStart"/>
            <w:r>
              <w:t>Cad.Özel</w:t>
            </w:r>
            <w:proofErr w:type="spellEnd"/>
            <w:r>
              <w:t xml:space="preserve"> İdare İşhanı Kat.3 Espiye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pPr>
              <w:ind w:left="284"/>
            </w:pPr>
            <w:r w:rsidRPr="00B7533E">
              <w:t>B) Telefon ve Faks Numarası</w:t>
            </w:r>
          </w:p>
        </w:tc>
        <w:tc>
          <w:tcPr>
            <w:tcW w:w="5040" w:type="dxa"/>
          </w:tcPr>
          <w:p w:rsidR="00143663" w:rsidRPr="00B7533E" w:rsidRDefault="00143663" w:rsidP="006D6D98">
            <w:pPr>
              <w:jc w:val="both"/>
            </w:pPr>
            <w:proofErr w:type="gramStart"/>
            <w:r>
              <w:t>04546112706</w:t>
            </w:r>
            <w:proofErr w:type="gramEnd"/>
            <w:r w:rsidRPr="00B7533E">
              <w:t>–</w:t>
            </w:r>
            <w:r>
              <w:t xml:space="preserve"> 04546114363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pPr>
              <w:ind w:left="284"/>
            </w:pPr>
            <w:r w:rsidRPr="00B7533E">
              <w:t xml:space="preserve">C) Elektronik Posta Adresi </w:t>
            </w:r>
          </w:p>
        </w:tc>
        <w:tc>
          <w:tcPr>
            <w:tcW w:w="5040" w:type="dxa"/>
          </w:tcPr>
          <w:p w:rsidR="00143663" w:rsidRPr="00B7533E" w:rsidRDefault="00143663" w:rsidP="006D6D98">
            <w:pPr>
              <w:jc w:val="both"/>
            </w:pPr>
            <w:r>
              <w:t>espiye28</w:t>
            </w:r>
            <w:r w:rsidRPr="00D74A56">
              <w:rPr>
                <w:color w:val="000000"/>
              </w:rPr>
              <w:t>@meb.gov.tr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pPr>
              <w:jc w:val="both"/>
            </w:pPr>
            <w:r w:rsidRPr="00B7533E">
              <w:t>2-İhale Konusu</w:t>
            </w:r>
          </w:p>
        </w:tc>
        <w:tc>
          <w:tcPr>
            <w:tcW w:w="5040" w:type="dxa"/>
          </w:tcPr>
          <w:p w:rsidR="00143663" w:rsidRPr="00B7533E" w:rsidRDefault="00143663" w:rsidP="006D6D98">
            <w:pPr>
              <w:jc w:val="both"/>
            </w:pPr>
            <w:r w:rsidRPr="00B7533E">
              <w:t>Banka Promosyon İhalesi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pPr>
              <w:jc w:val="both"/>
            </w:pPr>
            <w:r w:rsidRPr="00B7533E">
              <w:t>3-İhale Usulü</w:t>
            </w:r>
          </w:p>
        </w:tc>
        <w:tc>
          <w:tcPr>
            <w:tcW w:w="5040" w:type="dxa"/>
          </w:tcPr>
          <w:p w:rsidR="00143663" w:rsidRPr="00B7533E" w:rsidRDefault="00143663" w:rsidP="006D6D98">
            <w:r>
              <w:t xml:space="preserve">4734 Sayılı İhale Kanuna Tabi Olmayan </w:t>
            </w:r>
            <w:r w:rsidRPr="00B7533E">
              <w:t>Kapalı Zarf ve Açık Artırma Usulü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r w:rsidRPr="00B7533E">
              <w:t>4-Kurumdaki Çalışan Personel Sayısı</w:t>
            </w:r>
          </w:p>
        </w:tc>
        <w:tc>
          <w:tcPr>
            <w:tcW w:w="5040" w:type="dxa"/>
          </w:tcPr>
          <w:p w:rsidR="00143663" w:rsidRPr="00544F7B" w:rsidRDefault="00143663" w:rsidP="006D6D98">
            <w:pPr>
              <w:jc w:val="both"/>
            </w:pPr>
            <w:r>
              <w:t>402</w:t>
            </w:r>
            <w:r w:rsidRPr="00544F7B">
              <w:t xml:space="preserve"> ( </w:t>
            </w:r>
            <w:smartTag w:uri="urn:schemas-microsoft-com:office:smarttags" w:element="metricconverter">
              <w:smartTagPr>
                <w:attr w:name="ProductID" w:val="657’"/>
              </w:smartTagPr>
              <w:r w:rsidRPr="00544F7B">
                <w:t>657</w:t>
              </w:r>
              <w:r>
                <w:t>’</w:t>
              </w:r>
            </w:smartTag>
            <w:r>
              <w:t xml:space="preserve"> ye T</w:t>
            </w:r>
            <w:r w:rsidRPr="00544F7B">
              <w:t xml:space="preserve">abi Kadrolu )  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r w:rsidRPr="00B7533E">
              <w:t>5-Kurum Personelinin Aylık Nakit Akışı</w:t>
            </w:r>
          </w:p>
        </w:tc>
        <w:tc>
          <w:tcPr>
            <w:tcW w:w="5040" w:type="dxa"/>
          </w:tcPr>
          <w:p w:rsidR="00143663" w:rsidRPr="00983A49" w:rsidRDefault="00143663" w:rsidP="006D6D9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1.617.073,19</w:t>
            </w:r>
            <w:r w:rsidRPr="00983A49">
              <w:rPr>
                <w:b/>
              </w:rPr>
              <w:t xml:space="preserve"> TL*12 = 1</w:t>
            </w:r>
            <w:r>
              <w:rPr>
                <w:b/>
              </w:rPr>
              <w:t>9</w:t>
            </w:r>
            <w:r w:rsidRPr="00983A49">
              <w:rPr>
                <w:b/>
              </w:rPr>
              <w:t>.</w:t>
            </w:r>
            <w:r>
              <w:rPr>
                <w:b/>
              </w:rPr>
              <w:t>404</w:t>
            </w:r>
            <w:r w:rsidRPr="00983A49">
              <w:rPr>
                <w:b/>
              </w:rPr>
              <w:t>.</w:t>
            </w:r>
            <w:r>
              <w:rPr>
                <w:b/>
              </w:rPr>
              <w:t>878</w:t>
            </w:r>
            <w:r w:rsidRPr="00983A49">
              <w:rPr>
                <w:b/>
              </w:rPr>
              <w:t>,</w:t>
            </w:r>
            <w:r>
              <w:rPr>
                <w:b/>
              </w:rPr>
              <w:t>28</w:t>
            </w:r>
            <w:r w:rsidRPr="00983A49">
              <w:rPr>
                <w:b/>
              </w:rPr>
              <w:t xml:space="preserve"> TL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r w:rsidRPr="00B7533E">
              <w:t>6-Promosyon İhalesi Toplantı Yeri</w:t>
            </w:r>
          </w:p>
        </w:tc>
        <w:tc>
          <w:tcPr>
            <w:tcW w:w="5040" w:type="dxa"/>
          </w:tcPr>
          <w:p w:rsidR="00143663" w:rsidRPr="0064197B" w:rsidRDefault="00143663" w:rsidP="006D6D98">
            <w:pPr>
              <w:jc w:val="both"/>
              <w:rPr>
                <w:sz w:val="20"/>
                <w:szCs w:val="20"/>
              </w:rPr>
            </w:pPr>
            <w:r w:rsidRPr="0064197B">
              <w:t>Espiye İlçe Milli Eğitim Müdürlüğü Toplantı</w:t>
            </w:r>
            <w:r w:rsidRPr="0064197B">
              <w:rPr>
                <w:sz w:val="20"/>
                <w:szCs w:val="20"/>
              </w:rPr>
              <w:t xml:space="preserve"> Odası</w:t>
            </w:r>
          </w:p>
        </w:tc>
      </w:tr>
      <w:tr w:rsidR="00143663" w:rsidRPr="00B7533E" w:rsidTr="006D6D9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143663" w:rsidRPr="00B7533E" w:rsidRDefault="00143663" w:rsidP="006D6D98">
            <w:pPr>
              <w:jc w:val="both"/>
            </w:pPr>
            <w:r w:rsidRPr="00B7533E">
              <w:t>7-Promosyon İhalesi Tarih</w:t>
            </w:r>
            <w:r w:rsidRPr="00B7533E">
              <w:rPr>
                <w:spacing w:val="-2"/>
              </w:rPr>
              <w:t xml:space="preserve"> ve Saati</w:t>
            </w:r>
          </w:p>
        </w:tc>
        <w:tc>
          <w:tcPr>
            <w:tcW w:w="5040" w:type="dxa"/>
            <w:vAlign w:val="center"/>
          </w:tcPr>
          <w:p w:rsidR="00143663" w:rsidRPr="001E5CA4" w:rsidRDefault="00143663" w:rsidP="006D6D98">
            <w:pPr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26</w:t>
            </w:r>
            <w:r w:rsidRPr="001E5CA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12.2017</w:t>
            </w:r>
            <w:r w:rsidRPr="001E5CA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Salı</w:t>
            </w:r>
            <w:r w:rsidRPr="001E5CA4">
              <w:rPr>
                <w:b/>
                <w:color w:val="000000"/>
                <w:spacing w:val="-10"/>
              </w:rPr>
              <w:t xml:space="preserve"> günü,</w:t>
            </w:r>
            <w:r>
              <w:rPr>
                <w:b/>
                <w:color w:val="000000"/>
                <w:spacing w:val="-10"/>
              </w:rPr>
              <w:t xml:space="preserve"> saat 10.0</w:t>
            </w:r>
            <w:r w:rsidRPr="001E5CA4">
              <w:rPr>
                <w:b/>
                <w:color w:val="000000"/>
                <w:spacing w:val="-10"/>
              </w:rPr>
              <w:t>0</w:t>
            </w:r>
          </w:p>
        </w:tc>
      </w:tr>
    </w:tbl>
    <w:p w:rsidR="00143663" w:rsidRPr="00B7533E" w:rsidRDefault="00143663" w:rsidP="00143663"/>
    <w:p w:rsidR="00143663" w:rsidRPr="00B7533E" w:rsidRDefault="00143663" w:rsidP="00143663">
      <w:pPr>
        <w:ind w:firstLine="708"/>
        <w:jc w:val="both"/>
      </w:pPr>
      <w:r w:rsidRPr="00B7533E">
        <w:t xml:space="preserve">Banka Promosyonu İhale Komisyonu </w:t>
      </w:r>
      <w:r>
        <w:rPr>
          <w:b/>
          <w:color w:val="FF0000"/>
        </w:rPr>
        <w:t>18</w:t>
      </w:r>
      <w:r>
        <w:t>.</w:t>
      </w:r>
      <w:r w:rsidRPr="00242B09">
        <w:rPr>
          <w:b/>
          <w:color w:val="FF0000"/>
        </w:rPr>
        <w:t>/</w:t>
      </w:r>
      <w:r>
        <w:rPr>
          <w:b/>
          <w:color w:val="FF0000"/>
        </w:rPr>
        <w:t>12</w:t>
      </w:r>
      <w:r w:rsidRPr="00242B09">
        <w:rPr>
          <w:b/>
          <w:color w:val="FF0000"/>
        </w:rPr>
        <w:t xml:space="preserve">/2017 </w:t>
      </w:r>
      <w:proofErr w:type="spellStart"/>
      <w:r>
        <w:rPr>
          <w:b/>
          <w:color w:val="FF0000"/>
        </w:rPr>
        <w:t>Pazartisi</w:t>
      </w:r>
      <w:proofErr w:type="spellEnd"/>
      <w:r w:rsidRPr="00242B09">
        <w:rPr>
          <w:b/>
          <w:color w:val="FF0000"/>
        </w:rPr>
        <w:t xml:space="preserve"> günü, saat 14.00</w:t>
      </w:r>
      <w:r>
        <w:t xml:space="preserve"> da</w:t>
      </w:r>
      <w:r w:rsidRPr="00B7533E">
        <w:t xml:space="preserve"> yaptığı toplantıda, Banka Promosyon İhalesinde uygulanacak kriterler ve şartnameyi hazırlayarak; Yukarıda belirtilen tarih ve saatlerde </w:t>
      </w:r>
      <w:proofErr w:type="gramStart"/>
      <w:r w:rsidRPr="00B7533E">
        <w:t>promosyon</w:t>
      </w:r>
      <w:proofErr w:type="gramEnd"/>
      <w:r w:rsidRPr="00B7533E">
        <w:t xml:space="preserve"> ihalesi toplantısının yapılamasına, ihalenin Kapalı Zarf ve Açık Artırma Usulü ile yapılmasına, Banka Promosyonu İhale İlanı ve eklerinin kurumun </w:t>
      </w:r>
      <w:r w:rsidRPr="00E71239">
        <w:t>internet adresinde yayınlanmasına</w:t>
      </w:r>
      <w:r w:rsidRPr="00B7533E">
        <w:t>, İlgili bankalara Banka Promosyon İh</w:t>
      </w:r>
      <w:r>
        <w:t>alesi Davet Mektubu verilmesine</w:t>
      </w:r>
      <w:r w:rsidRPr="00B7533E">
        <w:t xml:space="preserve"> karar vermiştir.</w:t>
      </w:r>
    </w:p>
    <w:p w:rsidR="00143663" w:rsidRPr="00B7533E" w:rsidRDefault="00143663" w:rsidP="00143663">
      <w:pPr>
        <w:pStyle w:val="BodyText27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B7533E">
        <w:rPr>
          <w:rFonts w:ascii="Times New Roman" w:hAnsi="Times New Roman"/>
          <w:sz w:val="24"/>
          <w:szCs w:val="24"/>
        </w:rPr>
        <w:t xml:space="preserve">Banka Promosyon İhalesinde uygulanacak </w:t>
      </w:r>
      <w:proofErr w:type="gramStart"/>
      <w:r w:rsidRPr="00B7533E">
        <w:rPr>
          <w:rFonts w:ascii="Times New Roman" w:hAnsi="Times New Roman"/>
          <w:sz w:val="24"/>
          <w:szCs w:val="24"/>
        </w:rPr>
        <w:t>kriterler</w:t>
      </w:r>
      <w:proofErr w:type="gramEnd"/>
      <w:r w:rsidRPr="00B7533E">
        <w:rPr>
          <w:rFonts w:ascii="Times New Roman" w:hAnsi="Times New Roman"/>
          <w:sz w:val="24"/>
          <w:szCs w:val="24"/>
        </w:rPr>
        <w:t>:</w:t>
      </w:r>
    </w:p>
    <w:p w:rsidR="00143663" w:rsidRPr="00B7533E" w:rsidRDefault="00143663" w:rsidP="00143663">
      <w:pPr>
        <w:jc w:val="both"/>
      </w:pPr>
      <w:r w:rsidRPr="00135892">
        <w:rPr>
          <w:b/>
        </w:rPr>
        <w:t>1-</w:t>
      </w:r>
      <w:r w:rsidRPr="00B7533E">
        <w:t>Banka Promosyon İhalesinde ekteki şartnamede belirtilen şartlar esas alınarak yapılacaktır.</w:t>
      </w:r>
    </w:p>
    <w:p w:rsidR="00143663" w:rsidRPr="00944399" w:rsidRDefault="00143663" w:rsidP="00143663">
      <w:pPr>
        <w:jc w:val="both"/>
      </w:pPr>
      <w:r w:rsidRPr="00135892">
        <w:rPr>
          <w:b/>
        </w:rPr>
        <w:t>2-</w:t>
      </w:r>
      <w:r w:rsidRPr="00B7533E">
        <w:t xml:space="preserve">Banka Promosyonu İhale Şartnamesi ve diğer belgeler </w:t>
      </w:r>
      <w:r w:rsidRPr="00944399">
        <w:rPr>
          <w:color w:val="000000"/>
        </w:rPr>
        <w:t>Espiye</w:t>
      </w:r>
      <w:r w:rsidRPr="00944399">
        <w:t xml:space="preserve"> İlçe Milli Eğitim Müdürlüğünden alınabilir.</w:t>
      </w:r>
    </w:p>
    <w:p w:rsidR="00143663" w:rsidRPr="00B7533E" w:rsidRDefault="00143663" w:rsidP="00143663">
      <w:pPr>
        <w:jc w:val="both"/>
      </w:pPr>
      <w:r w:rsidRPr="00135892">
        <w:rPr>
          <w:b/>
        </w:rPr>
        <w:t>3-</w:t>
      </w:r>
      <w:r w:rsidRPr="00B7533E">
        <w:t>Ekono</w:t>
      </w:r>
      <w:r>
        <w:t>mik açıdan en avantajlı teklif k</w:t>
      </w:r>
      <w:r w:rsidRPr="00B7533E">
        <w:t>apalı zarf ve açık artırma usulleri ile belirlenecektir.</w:t>
      </w:r>
    </w:p>
    <w:p w:rsidR="00143663" w:rsidRPr="00B7533E" w:rsidRDefault="00143663" w:rsidP="00143663">
      <w:pPr>
        <w:pStyle w:val="BodyText32"/>
        <w:rPr>
          <w:rFonts w:ascii="Times New Roman" w:hAnsi="Times New Roman"/>
          <w:spacing w:val="-10"/>
          <w:sz w:val="24"/>
          <w:szCs w:val="24"/>
        </w:rPr>
      </w:pPr>
      <w:r w:rsidRPr="00135892">
        <w:rPr>
          <w:rFonts w:ascii="Times New Roman" w:hAnsi="Times New Roman"/>
          <w:b/>
          <w:sz w:val="24"/>
          <w:szCs w:val="24"/>
        </w:rPr>
        <w:t>4-</w:t>
      </w:r>
      <w:r w:rsidRPr="00B7533E">
        <w:rPr>
          <w:rFonts w:ascii="Times New Roman" w:hAnsi="Times New Roman"/>
          <w:sz w:val="24"/>
          <w:szCs w:val="24"/>
        </w:rPr>
        <w:t xml:space="preserve">Teklifler, en geç </w:t>
      </w:r>
      <w:r w:rsidRPr="00885F67">
        <w:rPr>
          <w:rFonts w:ascii="Times New Roman" w:hAnsi="Times New Roman"/>
          <w:b/>
          <w:color w:val="FF0000"/>
          <w:sz w:val="24"/>
          <w:szCs w:val="24"/>
          <w:u w:val="single"/>
        </w:rPr>
        <w:t>26</w:t>
      </w:r>
      <w:r w:rsidRPr="00885F67">
        <w:rPr>
          <w:rFonts w:ascii="Times New Roman" w:hAnsi="Times New Roman"/>
          <w:sz w:val="24"/>
          <w:szCs w:val="24"/>
          <w:u w:val="single"/>
        </w:rPr>
        <w:t>.</w:t>
      </w:r>
      <w:r w:rsidRPr="00885F67">
        <w:rPr>
          <w:rFonts w:ascii="Times New Roman" w:hAnsi="Times New Roman"/>
          <w:b/>
          <w:color w:val="FF0000"/>
          <w:sz w:val="24"/>
          <w:szCs w:val="24"/>
          <w:u w:val="single"/>
        </w:rPr>
        <w:t>12.2017 Salı</w:t>
      </w:r>
      <w:r>
        <w:rPr>
          <w:rFonts w:ascii="Times New Roman" w:hAnsi="Times New Roman"/>
          <w:b/>
          <w:color w:val="FF0000"/>
          <w:spacing w:val="-10"/>
          <w:sz w:val="24"/>
          <w:szCs w:val="24"/>
          <w:u w:val="single"/>
        </w:rPr>
        <w:t xml:space="preserve"> günü, saat 10.0</w:t>
      </w:r>
      <w:r w:rsidRPr="00885F67">
        <w:rPr>
          <w:rFonts w:ascii="Times New Roman" w:hAnsi="Times New Roman"/>
          <w:b/>
          <w:color w:val="FF0000"/>
          <w:spacing w:val="-10"/>
          <w:sz w:val="24"/>
          <w:szCs w:val="24"/>
          <w:u w:val="single"/>
        </w:rPr>
        <w:t>0’ a</w:t>
      </w:r>
      <w:r w:rsidRPr="00242B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29A0">
        <w:rPr>
          <w:rFonts w:ascii="Times New Roman" w:hAnsi="Times New Roman"/>
          <w:sz w:val="24"/>
          <w:szCs w:val="24"/>
        </w:rPr>
        <w:t>kadar</w:t>
      </w:r>
      <w:r w:rsidRPr="00B75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İlçe Milli Eğitim Müdür Odasında</w:t>
      </w:r>
      <w:r w:rsidRPr="00B7533E">
        <w:rPr>
          <w:rFonts w:ascii="Times New Roman" w:hAnsi="Times New Roman"/>
          <w:sz w:val="24"/>
          <w:szCs w:val="24"/>
        </w:rPr>
        <w:t xml:space="preserve"> ihaleye katılacak banka yetkilileri tarafından kapalı zarf içerisinde getirilecek komisyon ve diğer banka yetkililerinin huzurunda açılan zarflardan en yüksek teklifi veren </w:t>
      </w:r>
      <w:r>
        <w:rPr>
          <w:rFonts w:ascii="Times New Roman" w:hAnsi="Times New Roman"/>
          <w:sz w:val="24"/>
          <w:szCs w:val="24"/>
        </w:rPr>
        <w:t xml:space="preserve">en az 3 (üç) </w:t>
      </w:r>
      <w:r w:rsidRPr="00B7533E">
        <w:rPr>
          <w:rFonts w:ascii="Times New Roman" w:hAnsi="Times New Roman"/>
          <w:sz w:val="24"/>
          <w:szCs w:val="24"/>
        </w:rPr>
        <w:t>adet banka arasında</w:t>
      </w:r>
      <w:r>
        <w:rPr>
          <w:rFonts w:ascii="Times New Roman" w:hAnsi="Times New Roman"/>
          <w:sz w:val="24"/>
          <w:szCs w:val="24"/>
        </w:rPr>
        <w:t xml:space="preserve"> (Katılımın üçten az olması halinde teklif veren bankaların tamamı açık artırmaya </w:t>
      </w:r>
      <w:proofErr w:type="gramStart"/>
      <w:r>
        <w:rPr>
          <w:rFonts w:ascii="Times New Roman" w:hAnsi="Times New Roman"/>
          <w:sz w:val="24"/>
          <w:szCs w:val="24"/>
        </w:rPr>
        <w:t>dahil</w:t>
      </w:r>
      <w:proofErr w:type="gramEnd"/>
      <w:r>
        <w:rPr>
          <w:rFonts w:ascii="Times New Roman" w:hAnsi="Times New Roman"/>
          <w:sz w:val="24"/>
          <w:szCs w:val="24"/>
        </w:rPr>
        <w:t xml:space="preserve"> edilecek)</w:t>
      </w:r>
      <w:r w:rsidRPr="00B7533E">
        <w:rPr>
          <w:rFonts w:ascii="Times New Roman" w:hAnsi="Times New Roman"/>
          <w:sz w:val="24"/>
          <w:szCs w:val="24"/>
        </w:rPr>
        <w:t>, aynı anda açık artırma yöntemiyle belirlenecektir.</w:t>
      </w:r>
    </w:p>
    <w:p w:rsidR="00143663" w:rsidRPr="00B7533E" w:rsidRDefault="00143663" w:rsidP="00143663">
      <w:pPr>
        <w:jc w:val="both"/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696"/>
        <w:gridCol w:w="3060"/>
      </w:tblGrid>
      <w:tr w:rsidR="00143663" w:rsidRPr="00B7533E" w:rsidTr="006D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8680" w:type="dxa"/>
            <w:gridSpan w:val="3"/>
          </w:tcPr>
          <w:p w:rsidR="00143663" w:rsidRPr="00B7533E" w:rsidRDefault="00143663" w:rsidP="006D6D98">
            <w:pPr>
              <w:jc w:val="center"/>
            </w:pPr>
            <w:r w:rsidRPr="00B7533E">
              <w:t xml:space="preserve">BANKA PROMOSYONU İHALE KOMİSYONU                                             </w:t>
            </w:r>
          </w:p>
          <w:p w:rsidR="00143663" w:rsidRPr="00B7533E" w:rsidRDefault="00143663" w:rsidP="006D6D98">
            <w:pPr>
              <w:jc w:val="center"/>
            </w:pPr>
          </w:p>
        </w:tc>
      </w:tr>
      <w:tr w:rsidR="00143663" w:rsidRPr="00B7533E" w:rsidTr="006D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2924" w:type="dxa"/>
          </w:tcPr>
          <w:p w:rsidR="00143663" w:rsidRDefault="00143663" w:rsidP="006D6D98">
            <w:pPr>
              <w:jc w:val="center"/>
            </w:pPr>
            <w:r w:rsidRPr="00B7533E">
              <w:t>BAŞKAN</w:t>
            </w:r>
          </w:p>
          <w:p w:rsidR="00143663" w:rsidRPr="00B7533E" w:rsidRDefault="00143663" w:rsidP="006D6D98">
            <w:pPr>
              <w:jc w:val="center"/>
            </w:pPr>
          </w:p>
        </w:tc>
        <w:tc>
          <w:tcPr>
            <w:tcW w:w="2696" w:type="dxa"/>
          </w:tcPr>
          <w:p w:rsidR="00143663" w:rsidRPr="00B7533E" w:rsidRDefault="00143663" w:rsidP="006D6D98">
            <w:pPr>
              <w:jc w:val="center"/>
            </w:pPr>
            <w:r w:rsidRPr="00B7533E">
              <w:t>ÜYE</w:t>
            </w:r>
          </w:p>
        </w:tc>
        <w:tc>
          <w:tcPr>
            <w:tcW w:w="3060" w:type="dxa"/>
          </w:tcPr>
          <w:p w:rsidR="00143663" w:rsidRPr="00B7533E" w:rsidRDefault="00143663" w:rsidP="006D6D98">
            <w:pPr>
              <w:jc w:val="center"/>
            </w:pPr>
            <w:r w:rsidRPr="00B7533E">
              <w:t>ÜYE</w:t>
            </w:r>
          </w:p>
        </w:tc>
      </w:tr>
      <w:tr w:rsidR="00143663" w:rsidRPr="00B7533E" w:rsidTr="006D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2924" w:type="dxa"/>
          </w:tcPr>
          <w:p w:rsidR="00143663" w:rsidRPr="00B7533E" w:rsidRDefault="00143663" w:rsidP="006D6D98">
            <w:pPr>
              <w:jc w:val="center"/>
            </w:pPr>
            <w:r>
              <w:t>Ahmet ÖZTÜRK</w:t>
            </w:r>
          </w:p>
        </w:tc>
        <w:tc>
          <w:tcPr>
            <w:tcW w:w="2696" w:type="dxa"/>
          </w:tcPr>
          <w:p w:rsidR="00143663" w:rsidRPr="00B7533E" w:rsidRDefault="00143663" w:rsidP="006D6D98">
            <w:pPr>
              <w:jc w:val="center"/>
            </w:pPr>
            <w:r>
              <w:t>İsmail ÇELİK</w:t>
            </w:r>
          </w:p>
        </w:tc>
        <w:tc>
          <w:tcPr>
            <w:tcW w:w="3060" w:type="dxa"/>
          </w:tcPr>
          <w:p w:rsidR="00143663" w:rsidRPr="00B7533E" w:rsidRDefault="00143663" w:rsidP="006D6D98">
            <w:pPr>
              <w:jc w:val="center"/>
            </w:pPr>
            <w:r>
              <w:t>Dursun YILMAZ</w:t>
            </w:r>
          </w:p>
        </w:tc>
      </w:tr>
      <w:tr w:rsidR="00143663" w:rsidRPr="00B7533E" w:rsidTr="006D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2924" w:type="dxa"/>
          </w:tcPr>
          <w:p w:rsidR="00143663" w:rsidRPr="00B7533E" w:rsidRDefault="00143663" w:rsidP="006D6D98">
            <w:pPr>
              <w:jc w:val="center"/>
            </w:pPr>
            <w:r>
              <w:t xml:space="preserve">İlçe Milli Eğitim Müdürü </w:t>
            </w:r>
          </w:p>
        </w:tc>
        <w:tc>
          <w:tcPr>
            <w:tcW w:w="2696" w:type="dxa"/>
          </w:tcPr>
          <w:p w:rsidR="00143663" w:rsidRPr="00944399" w:rsidRDefault="00143663" w:rsidP="006D6D98">
            <w:pPr>
              <w:jc w:val="center"/>
              <w:rPr>
                <w:sz w:val="20"/>
                <w:szCs w:val="20"/>
              </w:rPr>
            </w:pPr>
            <w:r w:rsidRPr="00944399">
              <w:rPr>
                <w:sz w:val="20"/>
                <w:szCs w:val="20"/>
              </w:rPr>
              <w:t xml:space="preserve">Şehit Hüseyin </w:t>
            </w:r>
            <w:proofErr w:type="spellStart"/>
            <w:r w:rsidRPr="00944399">
              <w:rPr>
                <w:sz w:val="20"/>
                <w:szCs w:val="20"/>
              </w:rPr>
              <w:t>Tahmaz</w:t>
            </w:r>
            <w:proofErr w:type="spellEnd"/>
            <w:r w:rsidRPr="009443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4399">
              <w:rPr>
                <w:sz w:val="20"/>
                <w:szCs w:val="20"/>
              </w:rPr>
              <w:t>İO.Müd</w:t>
            </w:r>
            <w:proofErr w:type="spellEnd"/>
            <w:proofErr w:type="gramEnd"/>
            <w:r w:rsidRPr="00944399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143663" w:rsidRPr="00B7533E" w:rsidRDefault="00143663" w:rsidP="006D6D98">
            <w:pPr>
              <w:jc w:val="center"/>
            </w:pPr>
            <w:r>
              <w:t xml:space="preserve">Öğretmen Evi ASO </w:t>
            </w:r>
            <w:proofErr w:type="spellStart"/>
            <w:r>
              <w:t>Müd</w:t>
            </w:r>
            <w:proofErr w:type="spellEnd"/>
            <w:r>
              <w:t>.</w:t>
            </w:r>
          </w:p>
        </w:tc>
      </w:tr>
      <w:tr w:rsidR="00143663" w:rsidRPr="00B7533E" w:rsidTr="006D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2924" w:type="dxa"/>
          </w:tcPr>
          <w:p w:rsidR="00143663" w:rsidRPr="00B7533E" w:rsidRDefault="00143663" w:rsidP="006D6D98">
            <w:pPr>
              <w:jc w:val="center"/>
            </w:pPr>
            <w:r>
              <w:t>Kamu Çalışanı</w:t>
            </w:r>
          </w:p>
        </w:tc>
        <w:tc>
          <w:tcPr>
            <w:tcW w:w="2696" w:type="dxa"/>
          </w:tcPr>
          <w:p w:rsidR="00143663" w:rsidRPr="00B7533E" w:rsidRDefault="00143663" w:rsidP="006D6D98">
            <w:pPr>
              <w:jc w:val="center"/>
            </w:pPr>
            <w:r>
              <w:rPr>
                <w:bCs/>
              </w:rPr>
              <w:t>Kamu Çalışanı</w:t>
            </w:r>
          </w:p>
        </w:tc>
        <w:tc>
          <w:tcPr>
            <w:tcW w:w="3060" w:type="dxa"/>
          </w:tcPr>
          <w:p w:rsidR="00143663" w:rsidRPr="00B7533E" w:rsidRDefault="00143663" w:rsidP="006D6D98">
            <w:pPr>
              <w:jc w:val="center"/>
            </w:pPr>
            <w:r>
              <w:t>Sendika Temsilcisi</w:t>
            </w:r>
          </w:p>
        </w:tc>
      </w:tr>
      <w:tr w:rsidR="00143663" w:rsidRPr="00B7533E" w:rsidTr="006D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2924" w:type="dxa"/>
          </w:tcPr>
          <w:p w:rsidR="00143663" w:rsidRDefault="00143663" w:rsidP="006D6D98">
            <w:pPr>
              <w:jc w:val="center"/>
            </w:pPr>
          </w:p>
          <w:p w:rsidR="00143663" w:rsidRPr="00B7533E" w:rsidRDefault="00143663" w:rsidP="006D6D98">
            <w:pPr>
              <w:jc w:val="center"/>
            </w:pPr>
          </w:p>
        </w:tc>
        <w:tc>
          <w:tcPr>
            <w:tcW w:w="2696" w:type="dxa"/>
          </w:tcPr>
          <w:p w:rsidR="00143663" w:rsidRPr="00B7533E" w:rsidRDefault="00143663" w:rsidP="006D6D9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143663" w:rsidRDefault="00143663" w:rsidP="006D6D98">
            <w:pPr>
              <w:jc w:val="center"/>
            </w:pPr>
          </w:p>
        </w:tc>
      </w:tr>
    </w:tbl>
    <w:p w:rsidR="00D128E9" w:rsidRDefault="00D128E9"/>
    <w:sectPr w:rsidR="00D1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3"/>
    <w:rsid w:val="00143663"/>
    <w:rsid w:val="00D1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4366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43663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character" w:styleId="Kpr">
    <w:name w:val="Hyperlink"/>
    <w:rsid w:val="00143663"/>
    <w:rPr>
      <w:color w:val="0000FF"/>
      <w:u w:val="single"/>
    </w:rPr>
  </w:style>
  <w:style w:type="paragraph" w:customStyle="1" w:styleId="BodyText27">
    <w:name w:val="Body Text 27"/>
    <w:basedOn w:val="Normal"/>
    <w:rsid w:val="001436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1436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4366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143663"/>
    <w:rPr>
      <w:rFonts w:ascii="Times New Roman" w:eastAsia="Times New Roman" w:hAnsi="Times New Roman" w:cs="Times New Roman"/>
      <w:b/>
      <w:color w:val="FF0000"/>
      <w:sz w:val="24"/>
      <w:szCs w:val="20"/>
      <w:lang w:eastAsia="tr-TR"/>
    </w:rPr>
  </w:style>
  <w:style w:type="character" w:styleId="Kpr">
    <w:name w:val="Hyperlink"/>
    <w:rsid w:val="00143663"/>
    <w:rPr>
      <w:color w:val="0000FF"/>
      <w:u w:val="single"/>
    </w:rPr>
  </w:style>
  <w:style w:type="paragraph" w:customStyle="1" w:styleId="BodyText27">
    <w:name w:val="Body Text 27"/>
    <w:basedOn w:val="Normal"/>
    <w:rsid w:val="001436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1436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s.gov.tr/OEB_2017/gen/kurumDegistir.htm?kurumId=193851&amp;roleId=13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bs.gov.tr/OEB_2017/gen/kurumDegistir.htm?kurumId=160278&amp;roleId=13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bs.gov.tr/OEB_2017/gen/kurumDegistir.htm?kurumId=146803&amp;roleId=13002" TargetMode="External"/><Relationship Id="rId5" Type="http://schemas.openxmlformats.org/officeDocument/2006/relationships/hyperlink" Target="https://www.kbs.gov.tr/OEB_2017/gen/kurumDegistir.htm?kurumId=135965&amp;roleId=130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GiresuN</cp:lastModifiedBy>
  <cp:revision>1</cp:revision>
  <dcterms:created xsi:type="dcterms:W3CDTF">2017-12-18T11:58:00Z</dcterms:created>
  <dcterms:modified xsi:type="dcterms:W3CDTF">2017-12-18T11:59:00Z</dcterms:modified>
</cp:coreProperties>
</file>